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6A" w:rsidRPr="003C366A" w:rsidRDefault="003C366A" w:rsidP="003C366A">
      <w:pPr>
        <w:spacing w:after="137" w:line="360" w:lineRule="atLeast"/>
        <w:rPr>
          <w:rFonts w:ascii="Times New Roman" w:eastAsia="Times New Roman" w:hAnsi="Times New Roman" w:cs="Times New Roman"/>
          <w:color w:val="A0A7AB"/>
          <w:lang w:eastAsia="pl-PL"/>
        </w:rPr>
      </w:pPr>
      <w:r w:rsidRPr="003C366A">
        <w:rPr>
          <w:rFonts w:ascii="Times New Roman" w:eastAsia="Times New Roman" w:hAnsi="Times New Roman" w:cs="Times New Roman"/>
          <w:color w:val="A0A7AB"/>
          <w:lang w:eastAsia="pl-PL"/>
        </w:rPr>
        <w:t> </w:t>
      </w:r>
    </w:p>
    <w:p w:rsidR="003C366A" w:rsidRPr="003C366A" w:rsidRDefault="003C366A" w:rsidP="003C366A">
      <w:pPr>
        <w:spacing w:after="137" w:line="360" w:lineRule="atLeast"/>
        <w:jc w:val="center"/>
        <w:rPr>
          <w:rFonts w:ascii="Times New Roman" w:eastAsia="Times New Roman" w:hAnsi="Times New Roman" w:cs="Times New Roman"/>
          <w:color w:val="A0A7AB"/>
          <w:lang w:eastAsia="pl-PL"/>
        </w:rPr>
      </w:pPr>
      <w:r w:rsidRPr="003C366A">
        <w:rPr>
          <w:rFonts w:ascii="Times New Roman" w:eastAsia="Times New Roman" w:hAnsi="Times New Roman" w:cs="Times New Roman"/>
          <w:color w:val="A0A7AB"/>
          <w:lang w:eastAsia="pl-PL"/>
        </w:rPr>
        <w:t> </w:t>
      </w:r>
      <w:r w:rsidRPr="003C366A">
        <w:rPr>
          <w:rFonts w:ascii="Times New Roman" w:eastAsia="Times New Roman" w:hAnsi="Times New Roman" w:cs="Times New Roman"/>
          <w:b/>
          <w:bCs/>
          <w:color w:val="A0A7AB"/>
          <w:lang w:eastAsia="pl-PL"/>
        </w:rPr>
        <w:t>PISMO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Times New Roman" w:eastAsia="Times New Roman" w:hAnsi="Times New Roman" w:cs="Times New Roman"/>
          <w:color w:val="A0A7AB"/>
          <w:lang w:eastAsia="pl-PL"/>
        </w:rPr>
      </w:pPr>
      <w:r w:rsidRPr="003C366A">
        <w:rPr>
          <w:rFonts w:ascii="Times New Roman" w:eastAsia="Times New Roman" w:hAnsi="Times New Roman" w:cs="Times New Roman"/>
          <w:color w:val="A0A7AB"/>
          <w:lang w:eastAsia="pl-PL"/>
        </w:rPr>
        <w:t xml:space="preserve">W załączeniu, my – niżej podpisani pracownicy PKP PLK S.A. </w:t>
      </w:r>
      <w:proofErr w:type="gramStart"/>
      <w:r w:rsidRPr="003C366A">
        <w:rPr>
          <w:rFonts w:ascii="Times New Roman" w:eastAsia="Times New Roman" w:hAnsi="Times New Roman" w:cs="Times New Roman"/>
          <w:color w:val="A0A7AB"/>
          <w:lang w:eastAsia="pl-PL"/>
        </w:rPr>
        <w:t>w</w:t>
      </w:r>
      <w:proofErr w:type="gramEnd"/>
      <w:r w:rsidRPr="003C366A">
        <w:rPr>
          <w:rFonts w:ascii="Times New Roman" w:eastAsia="Times New Roman" w:hAnsi="Times New Roman" w:cs="Times New Roman"/>
          <w:color w:val="A0A7AB"/>
          <w:lang w:eastAsia="pl-PL"/>
        </w:rPr>
        <w:t xml:space="preserve"> Szczecinie – przedkładamy wniosek o podjęcie działań mających na celu zbadanie konstytucyjności przepisów ustawy z dnia 17 grudnia 1998 r. o emeryturach i rentach z Funduszu Ubezpieczeń Społecznych.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Times New Roman" w:eastAsia="Times New Roman" w:hAnsi="Times New Roman" w:cs="Times New Roman"/>
          <w:color w:val="A0A7AB"/>
          <w:lang w:eastAsia="pl-PL"/>
        </w:rPr>
      </w:pPr>
      <w:r w:rsidRPr="003C366A">
        <w:rPr>
          <w:rFonts w:ascii="Times New Roman" w:eastAsia="Times New Roman" w:hAnsi="Times New Roman" w:cs="Times New Roman"/>
          <w:color w:val="A0A7AB"/>
          <w:lang w:eastAsia="pl-PL"/>
        </w:rPr>
        <w:t>Nadto, załączamy listy poparcia naszego wniosku podpisane przez 373 pracowników zatrudnio</w:t>
      </w:r>
      <w:r w:rsidRPr="003C366A">
        <w:rPr>
          <w:rFonts w:ascii="Times New Roman" w:eastAsia="Times New Roman" w:hAnsi="Times New Roman" w:cs="Times New Roman"/>
          <w:color w:val="A0A7AB"/>
          <w:lang w:eastAsia="pl-PL"/>
        </w:rPr>
        <w:softHyphen/>
        <w:t>nych w różnych spółkach PKP, którzy podobnie jak wnioskodawcy, zostali zatrud</w:t>
      </w:r>
      <w:r w:rsidRPr="003C366A">
        <w:rPr>
          <w:rFonts w:ascii="Times New Roman" w:eastAsia="Times New Roman" w:hAnsi="Times New Roman" w:cs="Times New Roman"/>
          <w:color w:val="A0A7AB"/>
          <w:lang w:eastAsia="pl-PL"/>
        </w:rPr>
        <w:softHyphen/>
        <w:t>nieni na PKP przed wejściem ustawy o emeryturach i rentach tj. przed dniem 1 stycznia 1999 r.</w:t>
      </w:r>
    </w:p>
    <w:p w:rsidR="003C366A" w:rsidRPr="003C366A" w:rsidRDefault="003C366A" w:rsidP="003C366A">
      <w:pPr>
        <w:spacing w:after="137" w:line="360" w:lineRule="atLeast"/>
        <w:rPr>
          <w:rFonts w:ascii="Times New Roman" w:eastAsia="Times New Roman" w:hAnsi="Times New Roman" w:cs="Times New Roman"/>
          <w:color w:val="A0A7AB"/>
          <w:lang w:eastAsia="pl-PL"/>
        </w:rPr>
      </w:pPr>
      <w:r w:rsidRPr="003C366A">
        <w:rPr>
          <w:rFonts w:ascii="Times New Roman" w:eastAsia="Times New Roman" w:hAnsi="Times New Roman" w:cs="Times New Roman"/>
          <w:color w:val="A0A7AB"/>
          <w:lang w:eastAsia="pl-PL"/>
        </w:rPr>
        <w:t> </w:t>
      </w:r>
    </w:p>
    <w:p w:rsidR="003C366A" w:rsidRPr="003C366A" w:rsidRDefault="003C366A" w:rsidP="003C366A">
      <w:pPr>
        <w:spacing w:after="137" w:line="360" w:lineRule="atLeast"/>
        <w:rPr>
          <w:rFonts w:ascii="Times New Roman" w:eastAsia="Times New Roman" w:hAnsi="Times New Roman" w:cs="Times New Roman"/>
          <w:color w:val="A0A7AB"/>
          <w:lang w:eastAsia="pl-PL"/>
        </w:rPr>
      </w:pPr>
      <w:r w:rsidRPr="003C366A">
        <w:rPr>
          <w:rFonts w:ascii="Times New Roman" w:eastAsia="Times New Roman" w:hAnsi="Times New Roman" w:cs="Times New Roman"/>
          <w:color w:val="A0A7AB"/>
          <w:lang w:eastAsia="pl-PL"/>
        </w:rPr>
        <w:t> </w:t>
      </w:r>
    </w:p>
    <w:p w:rsidR="003C366A" w:rsidRPr="003C366A" w:rsidRDefault="003C366A" w:rsidP="003C366A">
      <w:pPr>
        <w:spacing w:after="137" w:line="360" w:lineRule="atLeast"/>
        <w:rPr>
          <w:rFonts w:ascii="Times New Roman" w:eastAsia="Times New Roman" w:hAnsi="Times New Roman" w:cs="Times New Roman"/>
          <w:color w:val="A0A7AB"/>
          <w:lang w:eastAsia="pl-PL"/>
        </w:rPr>
      </w:pPr>
      <w:r w:rsidRPr="003C366A">
        <w:rPr>
          <w:rFonts w:ascii="Times New Roman" w:eastAsia="Times New Roman" w:hAnsi="Times New Roman" w:cs="Times New Roman"/>
          <w:color w:val="A0A7AB"/>
          <w:lang w:eastAsia="pl-PL"/>
        </w:rPr>
        <w:t> </w:t>
      </w:r>
    </w:p>
    <w:p w:rsidR="003C366A" w:rsidRPr="003C366A" w:rsidRDefault="003C366A" w:rsidP="003C366A">
      <w:pPr>
        <w:spacing w:after="137" w:line="360" w:lineRule="atLeast"/>
        <w:rPr>
          <w:rFonts w:ascii="Times New Roman" w:eastAsia="Times New Roman" w:hAnsi="Times New Roman" w:cs="Times New Roman"/>
          <w:color w:val="A0A7AB"/>
          <w:lang w:eastAsia="pl-PL"/>
        </w:rPr>
      </w:pPr>
      <w:r w:rsidRPr="003C366A">
        <w:rPr>
          <w:rFonts w:ascii="Times New Roman" w:eastAsia="Times New Roman" w:hAnsi="Times New Roman" w:cs="Times New Roman"/>
          <w:color w:val="A0A7AB"/>
          <w:lang w:eastAsia="pl-PL"/>
        </w:rPr>
        <w:t> </w:t>
      </w:r>
    </w:p>
    <w:p w:rsidR="003C366A" w:rsidRPr="003C366A" w:rsidRDefault="003C366A" w:rsidP="003C366A">
      <w:pPr>
        <w:spacing w:after="137" w:line="360" w:lineRule="atLeast"/>
        <w:rPr>
          <w:rFonts w:ascii="Times New Roman" w:eastAsia="Times New Roman" w:hAnsi="Times New Roman" w:cs="Times New Roman"/>
          <w:color w:val="A0A7AB"/>
          <w:lang w:eastAsia="pl-PL"/>
        </w:rPr>
      </w:pPr>
      <w:r w:rsidRPr="003C366A">
        <w:rPr>
          <w:rFonts w:ascii="Times New Roman" w:eastAsia="Times New Roman" w:hAnsi="Times New Roman" w:cs="Times New Roman"/>
          <w:color w:val="A0A7AB"/>
          <w:lang w:eastAsia="pl-PL"/>
        </w:rPr>
        <w:t>Załączniki:</w:t>
      </w:r>
    </w:p>
    <w:p w:rsidR="003C366A" w:rsidRPr="003C366A" w:rsidRDefault="003C366A" w:rsidP="003C366A">
      <w:pPr>
        <w:spacing w:after="137" w:line="360" w:lineRule="atLeast"/>
        <w:rPr>
          <w:rFonts w:ascii="Times New Roman" w:eastAsia="Times New Roman" w:hAnsi="Times New Roman" w:cs="Times New Roman"/>
          <w:color w:val="A0A7AB"/>
          <w:lang w:eastAsia="pl-PL"/>
        </w:rPr>
      </w:pPr>
      <w:r w:rsidRPr="003C366A">
        <w:rPr>
          <w:rFonts w:ascii="Times New Roman" w:eastAsia="Times New Roman" w:hAnsi="Times New Roman" w:cs="Times New Roman"/>
          <w:color w:val="A0A7AB"/>
          <w:lang w:eastAsia="pl-PL"/>
        </w:rPr>
        <w:t>1.    Wniosek z dnia 14.10.2013</w:t>
      </w:r>
    </w:p>
    <w:p w:rsidR="003C366A" w:rsidRPr="003C366A" w:rsidRDefault="003C366A" w:rsidP="003C366A">
      <w:pPr>
        <w:spacing w:after="137" w:line="360" w:lineRule="atLeast"/>
        <w:rPr>
          <w:rFonts w:ascii="Times New Roman" w:eastAsia="Times New Roman" w:hAnsi="Times New Roman" w:cs="Times New Roman"/>
          <w:color w:val="A0A7AB"/>
          <w:lang w:eastAsia="pl-PL"/>
        </w:rPr>
      </w:pPr>
      <w:r w:rsidRPr="003C366A">
        <w:rPr>
          <w:rFonts w:ascii="Times New Roman" w:eastAsia="Times New Roman" w:hAnsi="Times New Roman" w:cs="Times New Roman"/>
          <w:color w:val="A0A7AB"/>
          <w:lang w:eastAsia="pl-PL"/>
        </w:rPr>
        <w:t>2.    Listy poparcia – 46 stron</w:t>
      </w:r>
    </w:p>
    <w:p w:rsidR="003C366A" w:rsidRPr="003C366A" w:rsidRDefault="003C366A" w:rsidP="003C366A">
      <w:pPr>
        <w:spacing w:after="137" w:line="360" w:lineRule="atLeast"/>
        <w:rPr>
          <w:rFonts w:ascii="Times New Roman" w:eastAsia="Times New Roman" w:hAnsi="Times New Roman" w:cs="Times New Roman"/>
          <w:color w:val="A0A7AB"/>
          <w:lang w:eastAsia="pl-PL"/>
        </w:rPr>
      </w:pPr>
      <w:r w:rsidRPr="003C366A">
        <w:rPr>
          <w:rFonts w:ascii="Times New Roman" w:eastAsia="Times New Roman" w:hAnsi="Times New Roman" w:cs="Times New Roman"/>
          <w:color w:val="A0A7AB"/>
          <w:lang w:eastAsia="pl-PL"/>
        </w:rPr>
        <w:t> </w:t>
      </w:r>
    </w:p>
    <w:p w:rsidR="003C366A" w:rsidRPr="003C366A" w:rsidRDefault="003C366A" w:rsidP="003C366A">
      <w:pPr>
        <w:spacing w:after="137" w:line="360" w:lineRule="atLeast"/>
        <w:rPr>
          <w:rFonts w:ascii="Times New Roman" w:eastAsia="Times New Roman" w:hAnsi="Times New Roman" w:cs="Times New Roman"/>
          <w:color w:val="A0A7AB"/>
          <w:lang w:eastAsia="pl-PL"/>
        </w:rPr>
      </w:pPr>
      <w:r w:rsidRPr="003C366A">
        <w:rPr>
          <w:rFonts w:ascii="Times New Roman" w:eastAsia="Times New Roman" w:hAnsi="Times New Roman" w:cs="Times New Roman"/>
          <w:color w:val="A0A7AB"/>
          <w:lang w:eastAsia="pl-PL"/>
        </w:rPr>
        <w:t>———— ———— ———— ———— ———— ———— ———— ———— ———— ———— ———— ————</w:t>
      </w:r>
    </w:p>
    <w:p w:rsidR="003C366A" w:rsidRPr="003C366A" w:rsidRDefault="003C366A" w:rsidP="003C366A">
      <w:pPr>
        <w:spacing w:after="137" w:line="360" w:lineRule="atLeast"/>
        <w:rPr>
          <w:rFonts w:ascii="Times New Roman" w:eastAsia="Times New Roman" w:hAnsi="Times New Roman" w:cs="Times New Roman"/>
          <w:color w:val="A0A7AB"/>
          <w:lang w:eastAsia="pl-PL"/>
        </w:rPr>
      </w:pPr>
      <w:r w:rsidRPr="003C366A">
        <w:rPr>
          <w:rFonts w:ascii="Times New Roman" w:eastAsia="Times New Roman" w:hAnsi="Times New Roman" w:cs="Times New Roman"/>
          <w:color w:val="A0A7AB"/>
          <w:lang w:eastAsia="pl-PL"/>
        </w:rPr>
        <w:t> </w:t>
      </w:r>
    </w:p>
    <w:p w:rsidR="003C366A" w:rsidRPr="003C366A" w:rsidRDefault="003C366A" w:rsidP="003C366A">
      <w:pPr>
        <w:spacing w:after="137" w:line="360" w:lineRule="atLeast"/>
        <w:rPr>
          <w:rFonts w:ascii="Times New Roman" w:eastAsia="Times New Roman" w:hAnsi="Times New Roman" w:cs="Times New Roman"/>
          <w:color w:val="A0A7AB"/>
          <w:lang w:eastAsia="pl-PL"/>
        </w:rPr>
      </w:pPr>
      <w:r w:rsidRPr="003C366A">
        <w:rPr>
          <w:rFonts w:ascii="Times New Roman" w:eastAsia="Times New Roman" w:hAnsi="Times New Roman" w:cs="Times New Roman"/>
          <w:color w:val="A0A7AB"/>
          <w:lang w:eastAsia="pl-PL"/>
        </w:rPr>
        <w:t> </w:t>
      </w:r>
    </w:p>
    <w:p w:rsidR="003C366A" w:rsidRPr="003C366A" w:rsidRDefault="003C366A" w:rsidP="003C366A">
      <w:pPr>
        <w:spacing w:after="137" w:line="360" w:lineRule="atLeas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Rzecznik </w:t>
      </w:r>
      <w:proofErr w:type="gramStart"/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</w:t>
      </w:r>
      <w:proofErr w:type="gramEnd"/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Obywatelskich</w:t>
      </w:r>
    </w:p>
    <w:p w:rsidR="003C366A" w:rsidRPr="003C366A" w:rsidRDefault="003C366A" w:rsidP="003C366A">
      <w:pPr>
        <w:spacing w:after="137" w:line="360" w:lineRule="atLeas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Aleja Solidarności 77 00 – 090 Warszawa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sz w:val="24"/>
          <w:szCs w:val="24"/>
          <w:lang w:eastAsia="pl-PL"/>
        </w:rPr>
        <w:t>Wnioskodawcy: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1.            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>Jan Stefański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2.            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>Zbigniew Jeznach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3.            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>Michał Kwiecień</w:t>
      </w:r>
    </w:p>
    <w:p w:rsidR="003C366A" w:rsidRPr="003C366A" w:rsidRDefault="003C366A" w:rsidP="003C366A">
      <w:pPr>
        <w:spacing w:after="137" w:line="360" w:lineRule="atLeas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</w:t>
      </w:r>
    </w:p>
    <w:p w:rsidR="003C366A" w:rsidRPr="003C366A" w:rsidRDefault="003C366A" w:rsidP="003C366A">
      <w:pPr>
        <w:spacing w:after="137" w:line="360" w:lineRule="atLeas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podjęcie działań mających </w:t>
      </w:r>
      <w:proofErr w:type="spell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ną</w:t>
      </w:r>
      <w:proofErr w:type="spell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celu zbadanie konstytucyjności przepisów ustawy z dnia 17 grudnia 1998 r. o emeryturach-i rentach z Funduszu Ubezpieczeń Społecznych</w:t>
      </w:r>
    </w:p>
    <w:p w:rsidR="003C366A" w:rsidRPr="003C366A" w:rsidRDefault="003C366A" w:rsidP="003C366A">
      <w:pPr>
        <w:spacing w:after="137" w:line="360" w:lineRule="atLeas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My, niżej podpisani pracownicy spółki PKP Polskie Linie Kolejowe w Szczecinie w oparciu o przepis art. 8, art. 9 oraz art. 16 ust. 2 </w:t>
      </w:r>
      <w:proofErr w:type="spell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pkt</w:t>
      </w:r>
      <w:proofErr w:type="spell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2 ustawy z dnia 15 lipca 1987 r. o Rzeczniku </w:t>
      </w: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Praw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Obywatelskich wnosimy o podjęcie sprawy poprzez: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1.     </w:t>
      </w: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zbadanie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przepisów ustaw emerytalnych dotyczących pracowników kolei;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2.   </w:t>
      </w: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porównanie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w/w przepisów z regulacjami’ ustawowymi dotyczącymi innych dotychczas tzw. uprzywilejowanych grup zawodowych, w tym przede wszystkim pracowników służb mundu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rowych;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3.  </w:t>
      </w: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ustalenie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czy istniejące regulacje emerytalne dotyczące pracowników kolei pozostają w zgo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dzie z zasadami sprawiedliwości społecznej, równości i podjęcie działań mających na celu zmianę przepisów ustawowych w takim zakresie, w jakim są sprzeczne z zasadami konstytucyj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nymi;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4.    </w:t>
      </w: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skierowanie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sprawy do właściwych organów w celu podjęcia przez nie odpowiednich kro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ków prawnych mających na celu dokonanie zmian przepisów ustaw emerytalnych, które go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dzą w zasady konstytucyjne (sprawiedliwości społecznej, równości) w świetle unormowań ustawowych dotyczących pozostałych tzw. uprzywilejowanych grup zawodowych, w tym podję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cie działań mających na celu zbadanie konstytucyjności przepisów ustawy z dnia ustawy z dnia 17 grudnia 1998 r. o emeryturach i rentach z Funduszu Ubezpieczeń Społecznych.</w:t>
      </w:r>
    </w:p>
    <w:p w:rsidR="003C366A" w:rsidRPr="003C366A" w:rsidRDefault="003C366A" w:rsidP="003C366A">
      <w:pPr>
        <w:spacing w:after="137" w:line="360" w:lineRule="atLeas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Uzasadnienie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sz w:val="24"/>
          <w:szCs w:val="24"/>
          <w:lang w:eastAsia="pl-PL"/>
        </w:rPr>
        <w:t>Obecnie uprawnienia emerytalne i rentowe pracowników kolejowych reguluje przede wszyst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kim ustawa o emeryturach i rentach z Funduszu Ubezpieczeń Społecznych, która weszła w ży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cie 1 stycznia 1999 r. oraz ustawa o emeryturach pomostowych z dnia 19 grudnia 2008 r. Usta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wodawca mając na celu stopniową likwidację istniejących odrębności i przywilejów branżo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wych zróżnicował w przedmiocie uprawnień emerytalnych sytuację prawną dla naszej kategorii zawodowej. Jak podano w uzasadnieniu projektu ustawy o emeryturach i rentach z Fundu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szu Ubezpieczeń Społecznych celem ustawodawcy było stworzenie stabilnego systemu emerytalno – rentowego w warunkach niekorzystnych trendów demograficznych, prowadzą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cych do wzrostu liczby świadczeniobiorców przy jednoczesnym spadku liczby osób płacą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cych składki na ubezpieczenia </w:t>
      </w: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społeczne. 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>Założenia ustawy nie są kwestionowane. Zrozu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miałe jest dążenie ustawodawcy do stworzenia jednolitego systemu emerytalno – rentowego. Nie może jednak ujść uwadze, iż założeniem ustawodawcy była również stopniowa likwida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cja istniejących odrębności i przywilejów branżowych, co miało dotyczyć wszystkich tzw. uprzy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wilejowanych grup zawodowych. Tymczasem, wbrew założeniom ustawodawcy, proces ujednolicania systemu emerytalno – rentowego nie przebiega równomiernie i faworyzuje kilka branż zawodowych kosztem innych, co ma przełożenie na regulacje ustawowe i co budzi w spo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sób oczywisty sprzeciw i poczucie niesprawiedliwości społecznej. I tak, z analizy obec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nego stanu prawnego systemu emerytalnego odnoszącego się do uprawnień emerytalnych poszcze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gólnych „uprzywilejowanych” grup zawodowych wynika, iż w stosunku do kolejarzy zastosowano jedne z najbardziej radykalnych rozwiązań. 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Dla porównania należy wskazać, iż zmiany ustawowe zmierzające do wydłużenia aktywności zawodowej żołnierzy zawodowych oraz funkcjonariuszy 10 formacji: policji, Agencji Bezpieczeństwa Wewnętrznego, Agencji Wy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wiadu, Służby Kontrwywiadu Wojskowego, Służby Wywiadu Wojskowego, Centralnego Biura Antykorupcyjnego, Straży Granicznej, Biura Ochrony Rządu, Państwowej Straży Pożar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nej i Służby Więziennej uchwalono dopiero w tym roku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Co więcej, nowy system emery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talny objął osoby, które wstąpiły do służby po wejściu w życie nowych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przepisów. 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Taka regulacja ustawowa nie budziłaby kontrowersji gdyby nie fakt, iż podobnych zasad nie wprowadzono 14 lat temu reformując przepisy emerytalne dotyczące kolejarzy. Środowisko kolejarzy ma głębokie poczucie krzywdy, bowiem w stosunku do niego nie wprowadzono regula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cji, iż ustawa ograniczająca przywileje emerytalne będzie miała zastosowanie dopiero wo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bec osób, które rozpoczną pracę na kolei po wejściu w życie ustawy o emeryturach i ren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tach z Funduszu Ubezpieczeń Społecznych tj. po 1 stycznia 1999 r. Uprawnienia emerytalno- rentowe pracowników kolei były różnicowane kolejnymi aktami prawnymi ze względu na ich status prawny tj. datę nabycia prawa do świadczeń emerytalno – rentowych. 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>Takie uregulowa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nia budziły w środowisku kolejarzy sprzeciw, ale przekonanie ustawodawcy o ich zasadności i deklaracji, iż odbieranie przywilejów emerytalnych odniesie się do wszystkich branż zawodo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wych, niejako wymusiło na kolejarzach akceptację. Jednakże w/w deklaracje nie znala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zły odzwierciedlenia w rzeczywistości. 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Skoro wobec służb mundurowych ustawodawca przyjął preferencyjne rozwiązania systemowe, to kolejarze domagają się wdrożenia ustawowo takich samych zasad w stosunku do nich tj. takiego uregulowania prawnego, które zapewni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łoby osobom już pracującym na kolei w dniu wejścia w życie ustawy preferencyjne uprawnie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nia emerytalne polegające na możliwości przechodzenia na emeryturę w wieku 60 lat dla męż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czyzn i 55 lat dla kobiet.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Pracownicy Polskich Kolei Państwowych, 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mając na uwadze charak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ter służby na kolei, powinni mieć takie same uprawnienia jak funkcjonariusze służb mundu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rowyc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>h.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Nie może zniknąć z pola widzenia, iż zastosowanie przez ustawodawcę diametralnie różnych rozwiązań w kwestii uprawnień emerytalnych w stosunku do dotychczas uprzywilejowanych grup zawodowych nie wynika z uzasadnionych przesłanek ekonomicznych. Oczywistym jest, iż można było w stosunku do służb mundurowych zastosować te same rozwiązania, co w przy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padku kolejarzy, co z kolei miałoby realne przełożenie na poprawę finansów państwa. Ustawo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dawca postanowił jednak z przyczyn nieznanych pracownikom kolei na preferencyjne potraktowanie służb mundurowych. 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>Wprawdzie ustawodawca ma dużą swobodę w kształtowa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niu uprawnień emerytalnych obywateli, jednakże 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zgodnie z utrwalonym w orzecznic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twie Trybunału Konstytucyjnego stanowiskiem, niekorzystne zmiany w sferze świad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czeń socjalnych są dopuszczalne, jeżeli wynikają z uzasadnionych przesłanek ekonomicz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nych i nie naruszają zasad państwa prawa i zasad sprawiedliwości społecznej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>. Tymcza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sem dokonane przez ustawodawcę 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unormowania prawne odnośnie uprawnień pracowni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ków służb mundurowych nie znajdują uzasadnienia z punktu widzenia ekonomii, a nadto prowadzą do nierównego traktowania obywateli i godzą w zasady sprawiedliwości społecz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nej. Co więcej, takie działania ustawodawcy są przejawem złamania zasady zaufania oby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wateli do państwa, a tym samym i prawa przez nie stanowionego oraz zasady bezpieczeń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stwa prawnego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obywateli.</w:t>
      </w:r>
      <w:proofErr w:type="gramEnd"/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Zasada zaufania obywateli do państwa wymaga, by nie stanowić norm prawnych, które nakazywa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łyby obciążenie obywateli bez jednoczesnego wprowadzenia zasad postępowania odpo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wiednio jasnych, umożliwiających dochodzenie przez obywateli swoich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praw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” (orzecze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nie Trybunału Konstytucyjnego z 8.12.1992 r., K 3/92, OTK 1992, Nr 2, poz. 26, s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. 86). Za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sada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 zakłada, że skoro już rozpoczęte zostało określone przedsięwzięcie, a prawo przewidy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wało, że będzie ono realizowane w pewnym okresie, to obywatel powinien mieć pew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ność, że będzie mógł ten czas wykorzystać, chyba że zajdą sytuacje szczególne (wyrok Trybu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nału Konstytucyjnego z 25.4.2001 r., K 13/01, OTK 2001, Nr 4, poz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. 81). Ponadto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maga ona, „by zmiana prawa dotychczas obowiązującego, która pociąga za sobą niekorzystne skutki dla sytuacji prawnej podmiotów, dokonywana była zasadniczo z zastosowaniem tech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niki przepisów przejściowych, a co najmniej odpowiedniego vacatio </w:t>
      </w:r>
      <w:proofErr w:type="spell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legis</w:t>
      </w:r>
      <w:proofErr w:type="spell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Stwarzają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one bo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wiem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zainteresowanym podmiotom możliwość przystosowania się do nowej sytuacji prawnej. Ustawodawca może z nich zrezygnować, decydując się na bezpośrednie (natychmiastowe) działa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nie nowego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prawa – jeżeli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przemawia za tym ważny interes publiczny, którego nie można wyważyć z interesem jednostki” (orzeczenie z 2.3.1992 </w:t>
      </w:r>
      <w:proofErr w:type="spell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r</w:t>
      </w:r>
      <w:proofErr w:type="spell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, K 9/92, OTK 1993, Nr 1, poz. 6, s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. 69-70).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Tymczasem</w:t>
      </w:r>
      <w:proofErr w:type="gramEnd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pracownikom kolei nie dano czasu na przystosowanie się do no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wej sytuacji prawnej, co miałoby miejsce, gdyby ustawę wydłużającą wiek emerytalny zastoso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 xml:space="preserve">wano do pracowników przyjmowanych do pracy na kolei po wejściu ustawy w życie, tak jak to uregulowano w tym roku wobec funkcjonariuszy mundurowych. 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Należy też zwrócić uwagę, iż ustawodawca ustawą z 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dnia 11 maja 2012 r. o zmianie ustawy o emeryturach i ren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tach z Funduszu Ubezpieczeń Społecznych oraz niektórych innych ustaw podniósł wprawdzie wiek emerytalny, ale wprowadził takie regulacje, iż zmiany będą następowały stopniowo; wiek emerytalny będzie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podnoszony co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trzy-miesiące o jeden miesiąc. Ustawodawca zastoso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wał wobec obywateli okres dostosowawczy, natomiast w przypadku kolejarzy żadnego okresu przejściowego nie zastosowano. Co więcej, dla gros osób wydłużono okres emerytalny jed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nym aktem prawnym aż o 5 lat, (dla osób urodzonych po 31 grudnia 1968 r.; a dla osób przed 1 stycznia 1969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r. którzy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nie spełniają wymagań określonych w art. 50 ustawy z dnia 17 grud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nia 1998 r. o emeryturach i rentach z Funduszu Ubezpieczeń Społecznych). I tak, kolejarze na skutek uchwalonej ustawy zostali niejako postawieni przed faktem, iż ich uprawnienia zostały nieodwołalnie zredukowane. Ustawodawca nie rozważył wpływu zmian na życie kolejarzy.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Pomi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nięto kwestię, iż dla wielu kolejarzy właśnie poczucie bezpieczeństwa emerytalnego i socjal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nego były czynnikami decydującymi przy wyborze ich zawodu. Możliwość przejścia na wcześniejszą emeryturę, bezpłatna opieka lekarska, ulgi przejazdowe – to były czynniki, dla któ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rych kolejarze godzili się na pracę w trudnych, uciążliwych warunkach, (praca świadczona w godzinach nocnych, w niedziele i święta, w godzinach nadliczbowych), przy pełnej dyspozycyj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ności, a także na niższe zarobki w stosunku do innych porównywalnych branż zawodo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wych. Obecnie w/w uprawnienia zostały ograniczone. Dodatkowych składników zwiększa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jących wynagrodzenia praktycznie nie ma. Są wprawdzie ulgi przejazdowe, ale trzeba je wykupić, płacąc przy tym podatek. Deputat węglowy w kwocie ok. 160 zł nie był walory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 xml:space="preserve">zowany już od kilkunastu lat. Kolejarze </w:t>
      </w:r>
      <w:proofErr w:type="gramStart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rozumieją iż</w:t>
      </w:r>
      <w:proofErr w:type="gramEnd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zmiany związane z sytuacją ekono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miczną w kraju i na świecie muszą dotykać również i ich grupy zawodowej. Powinny one jednak następować stopniowo. Nie może być akceptacji dla działań radykalnych, które zmie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niają sytuacje prawną obywateli z dnia na dzień tak jak to miało miejsce w przypadku koleja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rzy. W kontekście obecnie uchwalanych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ustaw należałoby powrócić do kwestii przywróce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nia kolejarzom już zatrudnionych na kolei przed wejściem ustawy w życie preferencyj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nych uprawnień emerytalnych.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sz w:val="24"/>
          <w:szCs w:val="24"/>
          <w:lang w:eastAsia="pl-PL"/>
        </w:rPr>
        <w:t>W kontekście powyższego należy podkreślić, iż dla niniejszej sprawy nie bez znaczenia jest za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sada sprawiedliwości społecznej, która łączy się z zasadą demokratycznego państwa </w:t>
      </w: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praw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nego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sz w:val="24"/>
          <w:szCs w:val="24"/>
          <w:lang w:eastAsia="pl-PL"/>
        </w:rPr>
        <w:t>W literaturze wskazuje się, iż samo opatrzenie terminu „sprawiedliwość” mającego wiele defini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cji w naukach społecznych (wystarczy tu powołać Arystotelesa, dla którego była ona naka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zem respektowania należnych drugiemu uprawnień i nieodnoszenia korzyści cudzym kosz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tem; Etyka </w:t>
      </w:r>
      <w:proofErr w:type="spell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nikomachejska</w:t>
      </w:r>
      <w:proofErr w:type="spell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, tłum. D. </w:t>
      </w:r>
      <w:proofErr w:type="spell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Gromska</w:t>
      </w:r>
      <w:proofErr w:type="spell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>, Warszawa 2000, s. 171) przymiotnikiem „społeczna” wskazuje, iż ta zasada konstytucyjna odnosi się z jednej strony do stosunków mię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dzy grupami społecznymi, a z drugiej – do stosunków między nimi a państwem, a nie do rela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cji między państwem a jednostką. Nie chodzi </w:t>
      </w: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tu więc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o subiektywne poczucie sprawiedliwo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ści, ale o sprawiedliwość jako kategorię społeczną. W podanym tu ujęciu zasada sprawiedliwości społecznej oddziałuje na wyznaczenie treści innych norm konstytucyjnych i implikuje konieczność prowadzenia przez państwo polityki gospodarczej zgodnej z interesem społecznym, a nie tylko ograniczanie się do osłony socjalnej uboższych grup społecznych. Ingeren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cja państwa w gospodarkę nie może jednak mieć takiego zakresu jak w okresie real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nego socjalizmu. Ustawodawca, korzystając z różnych instrumentów (nie tylko o charakterze prawnym, ale też posługując się subwencjami, podatkami itp.), powinien zapewnić przestrzega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nie sprawiedliwości społecznej w trakcie rozwoju gospodarczego i powinien odpowied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nio sterować procesami gospodarczymi, biorąc pod uwagę różne czynniki i zjawiska ściśle ze sobą powiązane.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Trybunał Konstytucyjny, dostrzegając związki zachodzące między zasadą demokratycznego państwa prawnego a zasadami sprawiedliwości społecznej, stoi na stanowisku, że nie należy tych dwóch zasad sobie przeciwstawiać ani też traktować </w:t>
      </w:r>
      <w:proofErr w:type="gramStart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ich jako</w:t>
      </w:r>
      <w:proofErr w:type="gramEnd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odrębne wzorce konstytu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cyjne. „Nie jest demokratycznym państwem prawnym państwo, które nie realizuje idei sprawiedli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 xml:space="preserve">wości, przynajmniej </w:t>
      </w:r>
      <w:proofErr w:type="gramStart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pojmowanej jako</w:t>
      </w:r>
      <w:proofErr w:type="gramEnd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dążenie do zachowania równowagi w stosun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kach społecznych i powstrzymywanie się od kreowania nieusprawiedliwionych, niepopar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tych obiektywnymi wymogami i kryteriami przywilejów dla wybranych grup obywa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teli” (wyrok Trybunału Konstytucyjnego z 12.4.2000 r., K 8/98, OTK 2000, Nr 3, poz. 87, s</w:t>
      </w:r>
      <w:proofErr w:type="gramStart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. 411). Trybunał</w:t>
      </w:r>
      <w:proofErr w:type="gramEnd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ustala sens zasad sprawiedliwości społecznej, nie tylko biorąc pod uwagę art. 2 Konstytucji, ale również nawiązanie do idei sprawiedliwości w Preambule Konstytucji RP oraz art. 1 stanowiący, że RP „jest dobrem wspólnym wszystkich obywateli”. W kontekście tej ostatniej regulacji ujmuje zasadę </w:t>
      </w:r>
      <w:proofErr w:type="gramStart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sprawiedliwości „jako</w:t>
      </w:r>
      <w:proofErr w:type="gramEnd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czynnik prowadzący do słusznego lub inaczej sprawiedliwego wyważenia interesu ogółu (dobra wspólnego) i interesów jed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nostki”.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Trybunał Konstytucyjny „pojęciu sprawiedliwości poświęcał wielokrotnie uwagę (…) przyjmu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jąc w ślad za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nauką iż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występuje wiele możliwych znaczeń pojęcia sprawiedliwości i opowiadając się za dystrybutywnym (rozdzielczym) jej pojęciem. Łączył też Trybunał Konstytu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cyjny pojęcie sprawiedliwości z pojęciem równości, stwierdzając, że „jeżeli w po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dziale dóbr i związanym z tym podziale ludzi występują niesprawiedliwe różnice, wówczas róż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nice te uważane są za nierówność”. (…) Sprawiedliwość jest przeciwieństwem arbitralno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ści,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wymaga bowiem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, aby zróżnicowanie poszczególnych ludzi pozostawało w odpowiedniej relacji do różnic w sytuacji tych ludzi” (orzeczenie Trybunału Konstytucyjnego z 22.8.1990 r., K 7/90, OTK 1990, Nr 1, poz. 5, s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. 53-54). Trybunał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Konstytucyjny przychylił się też do tezy głoszącej, iż zapewnia ona „równowagę obciążeń i korzyści” (orzeczenie Trybunału Konstytu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cyjnego z 26.10.1993 r., U 15/92, OTK 1993, Nr 2, poz. 36, s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. 343-344). Chociaż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sprawie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dliwość społeczna łączy się z konstytucyjną zasadą równości, to „nie oznacza konieczno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ści przyznania wszystkim kategoriom obywateli (grup podmiotów) jednakowych praw i obowiązków. Poszczególne kategorie podmiotów powinny być traktowane równo, tzn. według jednakowej miary, bez </w:t>
      </w:r>
      <w:proofErr w:type="spell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różnicowań</w:t>
      </w:r>
      <w:proofErr w:type="spell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dyskryminujących i faworyzujących, tylko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wów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czas gdy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 podłoża określonych regulacji prawnych leży jednakowa sytuacja faktyczna tych katego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rii podmiotów” (orzeczenie Trybunału Konstytucyjnego z 11.12.1996 r., K 11/96, OTK 1996, Nr 6, poz. 54, s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. 411). Trybunał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połączył zasadę sprawiedliwości społecznej z formułą (zasadą) proporcjonalności, która „zakłada istnienie proporcji między istotnymi cechami poszcze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gólnych kategorii, a należnym ich traktowaniem” (orzeczenie z 20.11.1996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r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., K 27/95, OTK 1996, Nr 6, poz. 50, s. 318).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W kontekście powyższego ważnym jest, by pokreślić, iż właśnie grupy zawodowe pracowni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ków służb mundurowych i kolejarzy historycznie funkcjonują od lat na podobnych zasadach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t>. Te grupy zawodowe korzystały z odrębnego systemu emerytalno – rentowego, który gwaranto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wał im ze względu na szczególne warunki pracy prawo przechodzenia na wcześniej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szą emeryturę. Stąd też należy wywodzić, iż zasadnym jest żądanie, by regulacje dotyczące upraw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nień emerytalnych były dla tych grup zawodowych oparte na tych samych zasadach, by te grupy zawodowe były przez ustawodawcę traktowane równo.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W kontekście powyższego należy zaznaczyć, iż Trybunał Konstytucyjny już od początku swo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jego istnienia określił istotę zasady równości polegającą na tym, że „wszystkie podmioty prawa charakteryzujące się daną cechą istotną (relewantną) w równym stopniu, mają być trakto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wane równo. A więc według równej miary, bez zróżnicowań dyskryminujących, jak i fawory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zujących” (OTK 1988, Warszawa 1989, s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. 14). Trybunał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Konstytucyjny wyróżnił przy tym już wówczas (orzeczenie z 9.3.1988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r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., U 7/87, OTK 1988, Nr 1, poz. 1, s. 14) dwa ważne elementy zasady równości, do których potem wielokrotnie nawiązywał (wyrok z 31.3.1998 </w:t>
      </w:r>
      <w:proofErr w:type="spellStart"/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r</w:t>
      </w:r>
      <w:proofErr w:type="spellEnd"/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„ K 24/97, OTK 1998, Nr 2, poz. 13, s. 81):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1)   równość</w:t>
      </w:r>
      <w:proofErr w:type="gramEnd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wobec prawa oznaczającą nakaz równego traktowania przez władzę publiczną w procesie stosowania prawa;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2)   równość</w:t>
      </w:r>
      <w:proofErr w:type="gramEnd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 prawie oznaczającą nakaz kształtowania treści prawa z uwzględnieniem za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sady równości.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Powyższe zasady zostały w przypadku uregulowań emerytalnych kolejarzy złamane.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sz w:val="24"/>
          <w:szCs w:val="24"/>
          <w:lang w:eastAsia="pl-PL"/>
        </w:rPr>
        <w:t>Nadto, mając na uwadze wyżej wskazane argumenty należy zauważyć, iż ustawodawca naru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szył zasadę wyrażoną w art. 1 Protokołu do Konwencji o ochronie </w:t>
      </w: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praw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człowieka i podstawo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wych wolności (ochrona własności). </w:t>
      </w: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Należy bowiem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 zauważyć, iż zasady, które ogól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nie znajdują zastosowanie w sprawach o naruszenie art. 1 Protokołu nr 1, są równie istotne w przypadku świadczeń emerytalnych. Przepis ten nie gwarantuje wprawdzie prawa do nabycia własności ani nie gwarantuje również prawa do emerytury o określonej wysoko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ści. Jednakże wówczas, gdy w państwie obowiązuje ustawodawstwo przyznające prawo do emery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tury z mocy prawa uwarunkowane lub nieuwarunkowane odprowadzaniem wcześniej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szych składek – ustawodawstwo takie musi zostać uznane za ustawodawstwo generujące inte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>res majątkowy wchodzący w zakres stosowania art. 1 Protokołu nr 1 w odniesieniu do osób speł</w:t>
      </w:r>
      <w:r w:rsidRPr="003C366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niających wymogi przez </w:t>
      </w:r>
      <w:proofErr w:type="gramStart"/>
      <w:r w:rsidRPr="003C366A">
        <w:rPr>
          <w:rFonts w:ascii="Arial" w:eastAsia="Times New Roman" w:hAnsi="Arial" w:cs="Arial"/>
          <w:sz w:val="24"/>
          <w:szCs w:val="24"/>
          <w:lang w:eastAsia="pl-PL"/>
        </w:rPr>
        <w:t>nie stawiane</w:t>
      </w:r>
      <w:proofErr w:type="gramEnd"/>
      <w:r w:rsidRPr="003C366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Pierwszym i najważniejszym wymogiem art. 1 Proto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kołu nr 1 jest wymóg, by wszelkie ingerencje ze strony organu władzy publicznej w poszano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 xml:space="preserve">wanie mienia były zgodne z prawem oraz by realizowały uzasadniony prawnie cel „w interesie publicznym”. Jeżeli chodzi o zgodność z prawem, jest to przede wszystkim wymóg wprowadzenia i przestrzegania odpowiednich, dostępnych i. </w:t>
      </w:r>
      <w:proofErr w:type="gramStart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>wystarczająco</w:t>
      </w:r>
      <w:proofErr w:type="gramEnd"/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precyzyjnych przepi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sów prawa krajowego. Należy zauważyć, iż państwa cieszą się szerokim marginesem uzna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nia, który w interesie sprawiedliwości społecznej oraz gospodarczego dobrobytu może prowa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dzić do dostosowania, ograniczenia lub nawet zmniejszenia wysokości emerytur normal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nie świadczonych określonej grupie osób, jednakże wszelkie środki tego typu muszą być stosowane w spo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sób niedyskryminujący oraz muszą być zgodne z wymogami proporcjonalno</w:t>
      </w:r>
      <w:r w:rsidRPr="003C366A">
        <w:rPr>
          <w:rFonts w:ascii="Arial" w:eastAsia="Times New Roman" w:hAnsi="Arial" w:cs="Arial"/>
          <w:i/>
          <w:sz w:val="24"/>
          <w:szCs w:val="24"/>
          <w:lang w:eastAsia="pl-PL"/>
        </w:rPr>
        <w:softHyphen/>
        <w:t>ści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 orzecznictwie Europejskiego Trybunału </w:t>
      </w:r>
      <w:proofErr w:type="gramStart"/>
      <w:r w:rsidRPr="003C366A">
        <w:rPr>
          <w:rFonts w:ascii="Arial" w:eastAsia="Times New Roman" w:hAnsi="Arial" w:cs="Arial"/>
          <w:b/>
          <w:i/>
          <w:sz w:val="24"/>
          <w:szCs w:val="24"/>
          <w:lang w:eastAsia="pl-PL"/>
        </w:rPr>
        <w:t>Praw</w:t>
      </w:r>
      <w:proofErr w:type="gramEnd"/>
      <w:r w:rsidRPr="003C366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Człowieka podkreśla się, iż każda ingerencja musi być także rozsądnie proporcjonalna do celu, który miał zostać zrealizowany. Innymi słowy, musi zostać osiągnięta „sprawiedliwa równowaga” pomiędzy wymogami interesu po</w:t>
      </w:r>
      <w:r w:rsidRPr="003C366A">
        <w:rPr>
          <w:rFonts w:ascii="Arial" w:eastAsia="Times New Roman" w:hAnsi="Arial" w:cs="Arial"/>
          <w:b/>
          <w:i/>
          <w:sz w:val="24"/>
          <w:szCs w:val="24"/>
          <w:lang w:eastAsia="pl-PL"/>
        </w:rPr>
        <w:softHyphen/>
        <w:t xml:space="preserve">wszechnego społeczeństwa a wymogami ochrony </w:t>
      </w:r>
      <w:proofErr w:type="gramStart"/>
      <w:r w:rsidRPr="003C366A">
        <w:rPr>
          <w:rFonts w:ascii="Arial" w:eastAsia="Times New Roman" w:hAnsi="Arial" w:cs="Arial"/>
          <w:b/>
          <w:i/>
          <w:sz w:val="24"/>
          <w:szCs w:val="24"/>
          <w:lang w:eastAsia="pl-PL"/>
        </w:rPr>
        <w:t>praw</w:t>
      </w:r>
      <w:proofErr w:type="gramEnd"/>
      <w:r w:rsidRPr="003C366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podstawowych przysługujących oso</w:t>
      </w:r>
      <w:r w:rsidRPr="003C366A">
        <w:rPr>
          <w:rFonts w:ascii="Arial" w:eastAsia="Times New Roman" w:hAnsi="Arial" w:cs="Arial"/>
          <w:b/>
          <w:i/>
          <w:sz w:val="24"/>
          <w:szCs w:val="24"/>
          <w:lang w:eastAsia="pl-PL"/>
        </w:rPr>
        <w:softHyphen/>
        <w:t>bie. Wymagana równowaga nie zostanie osiągnięta, jeżeli osoba lub osoby zainteresowane mu</w:t>
      </w:r>
      <w:r w:rsidRPr="003C366A">
        <w:rPr>
          <w:rFonts w:ascii="Arial" w:eastAsia="Times New Roman" w:hAnsi="Arial" w:cs="Arial"/>
          <w:b/>
          <w:i/>
          <w:sz w:val="24"/>
          <w:szCs w:val="24"/>
          <w:lang w:eastAsia="pl-PL"/>
        </w:rPr>
        <w:softHyphen/>
        <w:t>szą ponieść indywidualne i nadmierne obciążenie.</w:t>
      </w:r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Tymczasem ustawa z dnia 17 grudnia 1998r. w sposób arbitralny ograniczyła możliwość skorzysta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nia zatrudnionym już kolejarzom z dotychczas przysługujących im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praw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. Nadto, regula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cje zastosowane w ustawie wobec kolejarzy nie były proporcjonalne mając na uwadze regulacje ustawowe tyczące się innych grup zawodowych. Takie działanie ustawodawcy stano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wiło w sposób oczywisty ingerencję w prawo własności kolejarzy oraz naruszyło istotę ich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praw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emerytalnych. Co więcej, zostało wdrożone w sposób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dyskryminujący.</w:t>
      </w:r>
      <w:proofErr w:type="gramEnd"/>
    </w:p>
    <w:p w:rsidR="003C366A" w:rsidRPr="003C366A" w:rsidRDefault="003C366A" w:rsidP="003C366A">
      <w:pPr>
        <w:spacing w:after="137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Reasumując, sprzeczność przyjętych rozwiązań odnośnie kwestii uprawnień emerytalnych koleja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rzy z wieloma naczelnymi zasadami państwa demokratycznego wymusza obowiązek ich weryfikacji przez powołany do tego organ. Wobec powyższego, celowym było skierowa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 xml:space="preserve">nie sprawy do Rzecznika </w:t>
      </w:r>
      <w:proofErr w:type="gramStart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>Praw</w:t>
      </w:r>
      <w:proofErr w:type="gramEnd"/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Obywatelskich, jako organu posiadającego legitymację do wszczę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cia postępowania mającego na celu zbadanie konstytucyjności przepisów ustawy ewentual</w:t>
      </w:r>
      <w:r w:rsidRPr="003C366A">
        <w:rPr>
          <w:rFonts w:ascii="Arial" w:eastAsia="Times New Roman" w:hAnsi="Arial" w:cs="Arial"/>
          <w:b/>
          <w:sz w:val="24"/>
          <w:szCs w:val="24"/>
          <w:lang w:eastAsia="pl-PL"/>
        </w:rPr>
        <w:softHyphen/>
        <w:t>nie podjęcie działań mających na celu zainicjowanie zmian w tym przedmiocie.</w:t>
      </w:r>
    </w:p>
    <w:p w:rsidR="003C366A" w:rsidRPr="003C366A" w:rsidRDefault="003C366A" w:rsidP="003C366A">
      <w:pPr>
        <w:spacing w:after="137" w:line="36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3C366A" w:rsidRPr="003C366A" w:rsidRDefault="003C366A" w:rsidP="003C366A">
      <w:pPr>
        <w:spacing w:after="137" w:line="360" w:lineRule="atLeas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C366A">
        <w:rPr>
          <w:rFonts w:ascii="Arial" w:eastAsia="Times New Roman" w:hAnsi="Arial" w:cs="Arial"/>
          <w:sz w:val="24"/>
          <w:szCs w:val="24"/>
          <w:lang w:eastAsia="pl-PL"/>
        </w:rPr>
        <w:t>Copyright 2013 </w:t>
      </w:r>
    </w:p>
    <w:p w:rsidR="00F70277" w:rsidRPr="003C366A" w:rsidRDefault="00710868">
      <w:pPr>
        <w:rPr>
          <w:rFonts w:ascii="Arial" w:hAnsi="Arial" w:cs="Arial"/>
          <w:sz w:val="24"/>
          <w:szCs w:val="24"/>
        </w:rPr>
      </w:pPr>
    </w:p>
    <w:sectPr w:rsidR="00F70277" w:rsidRPr="003C366A" w:rsidSect="00F1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savePreviewPicture/>
  <w:compat/>
  <w:rsids>
    <w:rsidRoot w:val="003C366A"/>
    <w:rsid w:val="000356F5"/>
    <w:rsid w:val="00073C0D"/>
    <w:rsid w:val="000A273E"/>
    <w:rsid w:val="001276C8"/>
    <w:rsid w:val="001460CD"/>
    <w:rsid w:val="00175B65"/>
    <w:rsid w:val="002B1B2E"/>
    <w:rsid w:val="00360CFA"/>
    <w:rsid w:val="0036284E"/>
    <w:rsid w:val="003C366A"/>
    <w:rsid w:val="00440B79"/>
    <w:rsid w:val="004A45B6"/>
    <w:rsid w:val="00596E78"/>
    <w:rsid w:val="00693E3B"/>
    <w:rsid w:val="00710868"/>
    <w:rsid w:val="008027F4"/>
    <w:rsid w:val="00B16DFB"/>
    <w:rsid w:val="00B30303"/>
    <w:rsid w:val="00B57F58"/>
    <w:rsid w:val="00DD7AFE"/>
    <w:rsid w:val="00E244F2"/>
    <w:rsid w:val="00F1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py">
    <w:name w:val="copy"/>
    <w:basedOn w:val="Normalny"/>
    <w:rsid w:val="003C366A"/>
    <w:pPr>
      <w:spacing w:after="13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6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4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2983</Words>
  <Characters>17900</Characters>
  <Application>Microsoft Office Word</Application>
  <DocSecurity>0</DocSecurity>
  <Lines>149</Lines>
  <Paragraphs>41</Paragraphs>
  <ScaleCrop>false</ScaleCrop>
  <Company/>
  <LinksUpToDate>false</LinksUpToDate>
  <CharactersWithSpaces>20842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Platek</dc:creator>
  <cp:keywords/>
  <dc:description/>
  <cp:lastModifiedBy>Platek</cp:lastModifiedBy>
  <cp:revision>20</cp:revision>
  <dcterms:created xsi:type="dcterms:W3CDTF">2014-01-15T11:26:00Z</dcterms:created>
  <dcterms:modified xsi:type="dcterms:W3CDTF">2014-01-15T11:59:00Z</dcterms:modified>
</cp:coreProperties>
</file>