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07" w:rsidRPr="002B0D07" w:rsidRDefault="002B0D07" w:rsidP="002B0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5"/>
        <w:outlineLvl w:val="1"/>
        <w:rPr>
          <w:rFonts w:ascii="Arial" w:eastAsia="Times New Roman" w:hAnsi="Arial" w:cs="Arial"/>
          <w:b/>
          <w:bCs/>
          <w:color w:val="515151"/>
          <w:kern w:val="36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b/>
          <w:bCs/>
          <w:color w:val="515151"/>
          <w:kern w:val="36"/>
          <w:sz w:val="32"/>
          <w:szCs w:val="32"/>
          <w:lang w:eastAsia="pl-PL"/>
        </w:rPr>
        <w:t>Kiedy L4 nie chroni przed zwolnieniem?</w:t>
      </w:r>
    </w:p>
    <w:p w:rsidR="002B0D07" w:rsidRPr="002B0D07" w:rsidRDefault="002B0D07" w:rsidP="002B0D0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b/>
          <w:bCs/>
          <w:color w:val="515151"/>
          <w:kern w:val="36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b/>
          <w:bCs/>
          <w:color w:val="515151"/>
          <w:kern w:val="36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 xml:space="preserve">W powszechnej świadomości ludzi utrwaliło się przekonanie, że chorego </w:t>
      </w:r>
      <w:r w:rsidRPr="002B0D07">
        <w:rPr>
          <w:rFonts w:ascii="Arial" w:eastAsia="Times New Roman" w:hAnsi="Arial" w:cs="Arial"/>
          <w:b/>
          <w:bCs/>
          <w:color w:val="0000FF"/>
          <w:sz w:val="32"/>
          <w:szCs w:val="32"/>
          <w:lang w:eastAsia="pl-PL"/>
        </w:rPr>
        <w:t>pracownika</w:t>
      </w: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 xml:space="preserve"> nie można zwolnić. To jednak nie do końca prawda. Przebywanie na zwolnieniu lekarskim nie zawsze chroni przed utratą pracy. Sprawdź, o jakie sytuacje chodzi.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>Zdjęcie</w:t>
      </w:r>
    </w:p>
    <w:p w:rsidR="002B0D07" w:rsidRPr="002B0D07" w:rsidRDefault="002B0D07" w:rsidP="002B0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</w:p>
    <w:p w:rsidR="002B0D07" w:rsidRPr="002B0D07" w:rsidRDefault="002B0D07" w:rsidP="002B0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>Kiedy L4 nie chroni nas przed zwolnieniem z pracy?</w:t>
      </w:r>
    </w:p>
    <w:p w:rsidR="002B0D07" w:rsidRPr="002B0D07" w:rsidRDefault="002B0D07" w:rsidP="002B0D07">
      <w:pPr>
        <w:shd w:val="clear" w:color="auto" w:fill="FFFFFF"/>
        <w:spacing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i/>
          <w:iCs/>
          <w:color w:val="414141"/>
          <w:sz w:val="32"/>
          <w:szCs w:val="32"/>
          <w:lang w:eastAsia="pl-PL"/>
        </w:rPr>
        <w:t>/123RF/PICSEL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>Pracownik, który przebywa na tzw. chorobowym jest z zasady chroniony przed wypowiedzeniem umowy o pracę. Warto jednak podkreślić, że zakaz wypowiedzenia nie oznacza, że pracodawca nie może rozstać się z chorującym pracownikiem w inny sposób. Prawo przewiduje bowiem możliwość rozwiązania umowy o pracę bez wypowiedzenia.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>Chroniony czy nie?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>Z takiej furtki pracodawca może skorzystać tylko w dwóch zasadniczych przypadkach.</w:t>
      </w: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 xml:space="preserve"> Po pierwsze</w:t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 xml:space="preserve"> jeśli niezdolność pracownika do pracy wskutek choroby trwa dłużej niż trzy miesiące (przy założeniu, że sam pracownik był zatrudniony u tego pracodawcy krócej niż przez 6 miesięcy). </w:t>
      </w: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>Po drugie</w:t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>, jeśli niezdolność pracownika do pracy wskutek choroby trwa dłużej niż łączny okres pobierania z tego tytułu wynagrodzenia i zasiłku oraz pobierania świadczenia rehabilitacyjnego przez pierwsze trzy miesiące (przy założeniu, że pracownik był zatrudniony u danego pracodawcy co najmniej sześć miesięcy lub jeżeli niezdolność do pracy została spowodowana wypadkiem przy pracy albo chorobą zawodową). 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t xml:space="preserve">- Warto tutaj wyraźnie zaznaczyć, że pracodawca nie może rozwiązać umowy o pracę bez wypowiedzenia, jeżeli nieobecność pracownika spowodowana była sprawowaniem </w:t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lastRenderedPageBreak/>
        <w:t>opieki nad dzieckiem. Ochrona pracownika w tym wypadu trwa tak długo, jak pobiera on zasiłek z tego tytułu - wyjaśnia mec. Anna Brykczyńska z Kancelarii Adwokackiej Brykczyńscy i Partnerzy.</w:t>
      </w:r>
    </w:p>
    <w:p w:rsidR="002B0D07" w:rsidRPr="002B0D07" w:rsidRDefault="002B0D07" w:rsidP="002B0D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b/>
          <w:bCs/>
          <w:color w:val="414141"/>
          <w:sz w:val="32"/>
          <w:szCs w:val="32"/>
          <w:lang w:eastAsia="pl-PL"/>
        </w:rPr>
        <w:t>Reklama</w:t>
      </w:r>
    </w:p>
    <w:p w:rsidR="002B0D07" w:rsidRPr="002B0D07" w:rsidRDefault="002B0D07" w:rsidP="002B0D07">
      <w:pPr>
        <w:shd w:val="clear" w:color="auto" w:fill="FFFFFF"/>
        <w:spacing w:line="240" w:lineRule="auto"/>
        <w:rPr>
          <w:rFonts w:ascii="Arial" w:eastAsia="Times New Roman" w:hAnsi="Arial" w:cs="Arial"/>
          <w:color w:val="414141"/>
          <w:sz w:val="32"/>
          <w:szCs w:val="32"/>
          <w:lang w:eastAsia="pl-PL"/>
        </w:rPr>
      </w:pP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pict/>
      </w:r>
      <w:r w:rsidRPr="002B0D07">
        <w:rPr>
          <w:rFonts w:ascii="Arial" w:eastAsia="Times New Roman" w:hAnsi="Arial" w:cs="Arial"/>
          <w:color w:val="414141"/>
          <w:sz w:val="32"/>
          <w:szCs w:val="32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25.35pt;height:187.95pt" o:ole="">
            <v:imagedata r:id="rId5" o:title=""/>
          </v:shape>
          <w:control r:id="rId6" w:name="idAdrectangle1108163617" w:shapeid="_x0000_i1105"/>
        </w:object>
      </w:r>
    </w:p>
    <w:p w:rsidR="008569B1" w:rsidRPr="002B0D07" w:rsidRDefault="008569B1">
      <w:pPr>
        <w:rPr>
          <w:sz w:val="32"/>
          <w:szCs w:val="32"/>
        </w:rPr>
      </w:pPr>
    </w:p>
    <w:sectPr w:rsidR="008569B1" w:rsidRPr="002B0D07" w:rsidSect="0085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5E08"/>
    <w:multiLevelType w:val="multilevel"/>
    <w:tmpl w:val="5EF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compat/>
  <w:rsids>
    <w:rsidRoot w:val="002B0D07"/>
    <w:rsid w:val="002B0D07"/>
    <w:rsid w:val="006F5238"/>
    <w:rsid w:val="008569B1"/>
    <w:rsid w:val="00E6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9B1"/>
  </w:style>
  <w:style w:type="paragraph" w:styleId="Nagwek2">
    <w:name w:val="heading 2"/>
    <w:basedOn w:val="Normalny"/>
    <w:link w:val="Nagwek2Znak"/>
    <w:uiPriority w:val="9"/>
    <w:qFormat/>
    <w:rsid w:val="002B0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B0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0D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0D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2B0D07"/>
    <w:rPr>
      <w:i/>
      <w:iCs/>
    </w:rPr>
  </w:style>
  <w:style w:type="character" w:styleId="Pogrubienie">
    <w:name w:val="Strong"/>
    <w:basedOn w:val="Domylnaczcionkaakapitu"/>
    <w:uiPriority w:val="22"/>
    <w:qFormat/>
    <w:rsid w:val="002B0D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874">
          <w:marLeft w:val="0"/>
          <w:marRight w:val="0"/>
          <w:marTop w:val="187"/>
          <w:marBottom w:val="131"/>
          <w:divBdr>
            <w:top w:val="single" w:sz="8" w:space="31" w:color="E8E8E8"/>
            <w:left w:val="single" w:sz="8" w:space="18" w:color="E8E8E8"/>
            <w:bottom w:val="single" w:sz="8" w:space="10" w:color="E8E8E8"/>
            <w:right w:val="single" w:sz="8" w:space="18" w:color="E8E8E8"/>
          </w:divBdr>
          <w:divsChild>
            <w:div w:id="572785808">
              <w:marLeft w:val="-355"/>
              <w:marRight w:val="-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3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5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1480">
                                  <w:marLeft w:val="0"/>
                                  <w:marRight w:val="0"/>
                                  <w:marTop w:val="224"/>
                                  <w:marBottom w:val="2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0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21898">
                                  <w:marLeft w:val="0"/>
                                  <w:marRight w:val="0"/>
                                  <w:marTop w:val="224"/>
                                  <w:marBottom w:val="2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7938"/>
  <ax:ocxPr ax:name="_cy" ax:value="6615"/>
  <ax:ocxPr ax:name="FlashVars" ax:value=""/>
  <ax:ocxPr ax:name="Movie" ax:value="http://i.hub.com.pl/lenovo_yoga_300x250_20131108.swf?click=http://interiaao.hit.gemius.pl/hitredir/id=Bx1A3WLYz_.ueuUJBwnAzZR67OkGlEQf_JXIpLC8.tP.p7/stparam=qcjtcqrnji/fastid=igavdawgojfmnfbnmsfqhfkdiwjk/sarg=0000000DD4D001E7/url=http://shop.lenovo.com/pl/pl/info/yoga-tablet"/>
  <ax:ocxPr ax:name="Src" ax:value="http://i.hub.com.pl/lenovo_yoga_300x250_20131108.swf?click=http://interiaao.hit.gemius.pl/hitredir/id=Bx1A3WLYz_.ueuUJBwnAzZR67OkGlEQf_JXIpLC8.tP.p7/stparam=qcjtcqrnji/fastid=igavdawgojfmnfbnmsfqhfkdiwjk/sarg=0000000DD4D001E7/url=http://shop.lenovo.com/pl/pl/info/yoga-tablet"/>
  <ax:ocxPr ax:name="WMode" ax:value="Opaque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always"/>
  <ax:ocxPr ax:name="Scale" ax:value="ShowAll"/>
  <ax:ocxPr ax:name="DeviceFont" ax:value="0"/>
  <ax:ocxPr ax:name="EmbedMovie" ax:value="0"/>
  <ax:ocxPr ax:name="BGColor" ax:value="FFFFFF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2</cp:revision>
  <dcterms:created xsi:type="dcterms:W3CDTF">2013-11-12T08:03:00Z</dcterms:created>
  <dcterms:modified xsi:type="dcterms:W3CDTF">2013-11-12T08:03:00Z</dcterms:modified>
</cp:coreProperties>
</file>